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59e44a740ec47854d648851705ff1fc84acc811"/>
    <w:p>
      <w:pPr>
        <w:pStyle w:val="Heading1"/>
      </w:pPr>
      <w:r>
        <w:t xml:space="preserve">Philsouth Projects in Negros Oriental: Public Records Index Report — Phase 2 (Preliminary)</w:t>
      </w:r>
    </w:p>
    <w:p>
      <w:pPr>
        <w:pStyle w:val="FirstParagraph"/>
      </w:pPr>
      <w:r>
        <w:rPr>
          <w:bCs/>
          <w:b/>
        </w:rPr>
        <w:t xml:space="preserve">Last updated:</w:t>
      </w:r>
      <w:r>
        <w:t xml:space="preserve"> </w:t>
      </w:r>
      <w:r>
        <w:t xml:space="preserve">2026-05-06 ·</w:t>
      </w:r>
      <w:r>
        <w:t xml:space="preserve"> </w:t>
      </w:r>
      <w:r>
        <w:rPr>
          <w:bCs/>
          <w:b/>
        </w:rPr>
        <w:t xml:space="preserve">Data version:</w:t>
      </w:r>
      <w:r>
        <w:t xml:space="preserve"> </w:t>
      </w:r>
      <w:r>
        <w:t xml:space="preserve">2.0.0-preliminary</w:t>
      </w:r>
    </w:p>
    <w:bookmarkStart w:id="20" w:name="cover"/>
    <w:p>
      <w:pPr>
        <w:pStyle w:val="Heading2"/>
      </w:pPr>
      <w:r>
        <w:t xml:space="preserve">Cover</w:t>
      </w:r>
    </w:p>
    <w:p>
      <w:pPr>
        <w:pStyle w:val="FirstParagraph"/>
      </w:pPr>
      <w:r>
        <w:t xml:space="preserve">This is the Phase 2 preliminary expansion of the public records index. The dataset is materially larger than Phase 1 (52 records) but is not yet final. The Kuryente landing page remains under noindex,follow until the expanded dataset is reviewed.</w:t>
      </w:r>
    </w:p>
    <w:bookmarkEnd w:id="20"/>
    <w:bookmarkStart w:id="21" w:name="disclaimer"/>
    <w:p>
      <w:pPr>
        <w:pStyle w:val="Heading2"/>
      </w:pPr>
      <w:r>
        <w:t xml:space="preserve">Disclaimer</w:t>
      </w:r>
    </w:p>
    <w:p>
      <w:pPr>
        <w:pStyle w:val="FirstParagraph"/>
      </w:pPr>
      <w:r>
        <w:t xml:space="preserve">This index is not represented as a complete list of all Philsouth-related projects in Negros Oriental. It is a public-source registry based on records located and reviewed so far. Some records may be unavailable online, archived, blocked by government portals, or accessible only through PhilGEPS, DPWH, LGU Bids and Awards Committee offices, official records requests, or certified true copies. Company portfolio items, media references, and public mentions are listed only as research leads unless matched to official procurement or government records. This page is for public research, media reference, and documentation purposes only.</w:t>
      </w:r>
    </w:p>
    <w:p>
      <w:pPr>
        <w:pStyle w:val="BodyText"/>
      </w:pPr>
      <w:r>
        <w:rPr>
          <w:bCs/>
          <w:b/>
        </w:rPr>
        <w:t xml:space="preserve">This index is not represented as a complete list of all Philsouth-related projects in Negros Oriental.</w:t>
      </w:r>
      <w:r>
        <w:t xml:space="preserve"> </w:t>
      </w:r>
      <w:r>
        <w:t xml:space="preserve">It is a public-source registry based on records located and reviewed so far.</w:t>
      </w:r>
    </w:p>
    <w:bookmarkEnd w:id="21"/>
    <w:bookmarkStart w:id="22" w:name="coverage-status"/>
    <w:p>
      <w:pPr>
        <w:pStyle w:val="Heading2"/>
      </w:pPr>
      <w:r>
        <w:t xml:space="preserve">Coverage Status</w:t>
      </w:r>
    </w:p>
    <w:p>
      <w:pPr>
        <w:pStyle w:val="FirstParagraph"/>
      </w:pPr>
      <w:r>
        <w:t xml:space="preserve">Coverage Status: Records have been located for some procuring entities and project locations, while other LGUs remain pending deeper review of BAC postings, PhilGEPS records, DPWH files, local archives, and official source documents.</w:t>
      </w:r>
      <w:r>
        <w:t xml:space="preserve"> </w:t>
      </w:r>
      <w:r>
        <w:t xml:space="preserve">“</w:t>
      </w:r>
      <w:r>
        <w:t xml:space="preserve">No public web record located yet</w:t>
      </w:r>
      <w:r>
        <w:t xml:space="preserve">”</w:t>
      </w:r>
      <w:r>
        <w:t xml:space="preserve"> </w:t>
      </w:r>
      <w:r>
        <w:t xml:space="preserve">does not mean no project exists. It only means no source-backed record has been added to this index as of the latest update.</w:t>
      </w:r>
    </w:p>
    <w:bookmarkEnd w:id="22"/>
    <w:bookmarkStart w:id="23" w:name="methodology"/>
    <w:p>
      <w:pPr>
        <w:pStyle w:val="Heading2"/>
      </w:pPr>
      <w:r>
        <w:t xml:space="preserve">Methodology</w:t>
      </w:r>
    </w:p>
    <w:p>
      <w:pPr>
        <w:pStyle w:val="FirstParagraph"/>
      </w:pPr>
      <w:r>
        <w:t xml:space="preserve">Phase 2 expands the registry by:</w:t>
      </w:r>
      <w:r>
        <w:t xml:space="preserve"> </w:t>
      </w:r>
      <w:r>
        <w:t xml:space="preserve">- Pulling the BetterGov DPWH transparency dataset via the Meilisearch backend that powers transparency.bettergov.ph (281 nationwide Philsouth DPWH projects; 271 filtered to Negros Oriental).</w:t>
      </w:r>
      <w:r>
        <w:t xml:space="preserve"> </w:t>
      </w:r>
      <w:r>
        <w:t xml:space="preserve">- Adding 16 additional Philsouth/Lotiff Construction CPES rows from older GPPB releases (14th–36th + 40th).</w:t>
      </w:r>
      <w:r>
        <w:t xml:space="preserve"> </w:t>
      </w:r>
      <w:r>
        <w:t xml:space="preserve">- Reclassifying the prior 14 DPWH search-snippet leads (Tier E) where BetterGov now provides full structured rows for them.</w:t>
      </w:r>
      <w:r>
        <w:t xml:space="preserve"> </w:t>
      </w:r>
      <w:r>
        <w:t xml:space="preserve">- Adding a Manjuyod cluster (Government Center, Jetty Port and Terminal, Plaza/Sandbar) as Tier D leads pending NOA/NTP/contract retrieval.</w:t>
      </w:r>
    </w:p>
    <w:p>
      <w:pPr>
        <w:pStyle w:val="BodyText"/>
      </w:pPr>
      <w:r>
        <w:t xml:space="preserve">Sumbong sa Pangulo (sumbongsapangulo.ph) is Cloudflare-Turnstile-protected and could not be programmatically scraped this session. The BetterGov DPWH index includes the same DPWH project register that feeds Sumbong’s flood-control map for non-Sumbong-exclusive entries.</w:t>
      </w:r>
    </w:p>
    <w:bookmarkEnd w:id="23"/>
    <w:bookmarkStart w:id="24" w:name="verification-labels"/>
    <w:p>
      <w:pPr>
        <w:pStyle w:val="Heading2"/>
      </w:pPr>
      <w:r>
        <w:t xml:space="preserve">Verification labels</w:t>
      </w:r>
    </w:p>
    <w:p>
      <w:pPr>
        <w:numPr>
          <w:ilvl w:val="0"/>
          <w:numId w:val="1001"/>
        </w:numPr>
        <w:pStyle w:val="Compact"/>
      </w:pPr>
      <w:r>
        <w:rPr>
          <w:bCs/>
          <w:b/>
        </w:rPr>
        <w:t xml:space="preserve">A</w:t>
      </w:r>
      <w:r>
        <w:t xml:space="preserve"> </w:t>
      </w:r>
      <w:r>
        <w:t xml:space="preserve">— Verified official award or contract record: NOA, contract, BAC resolution, or PhilGEPS award notice located on an official government source. An official LGU social-media post or press release also qualifies as Tier A only when the post itself includes or links to the NOA / NTP / contract agreement / BAC resolution / PhilGEPS award notice.</w:t>
      </w:r>
    </w:p>
    <w:p>
      <w:pPr>
        <w:numPr>
          <w:ilvl w:val="0"/>
          <w:numId w:val="1001"/>
        </w:numPr>
        <w:pStyle w:val="Compact"/>
      </w:pPr>
      <w:r>
        <w:rPr>
          <w:bCs/>
          <w:b/>
        </w:rPr>
        <w:t xml:space="preserve">B</w:t>
      </w:r>
      <w:r>
        <w:t xml:space="preserve"> </w:t>
      </w:r>
      <w:r>
        <w:t xml:space="preserve">— Official procurement / planning / financing lead: Invitation to Bid, BAC bulletin, AIP/APP entry, council approval, loan approval, project authorization, SB/SP resolution, or an official LGU social-media post / press release that confirms council approval, financing, project authorization, or signing/launching ceremony — but does not include the award/contract document itself.</w:t>
      </w:r>
    </w:p>
    <w:p>
      <w:pPr>
        <w:numPr>
          <w:ilvl w:val="0"/>
          <w:numId w:val="1001"/>
        </w:numPr>
        <w:pStyle w:val="Compact"/>
      </w:pPr>
      <w:r>
        <w:rPr>
          <w:bCs/>
          <w:b/>
        </w:rPr>
        <w:t xml:space="preserve">C</w:t>
      </w:r>
      <w:r>
        <w:t xml:space="preserve"> </w:t>
      </w:r>
      <w:r>
        <w:t xml:space="preserve">— Official performance, transparency, project-status, or public-agency reference: GPPB/PCAB CPES, COA, BetterGov DPWH transparency mirror, Sumbong sa Pangulo, or an official LGU social-media post / press release / PIO release that confirms project existence, location, contractor participation, groundbreaking, implementation, completion, inspection, or turnover. Establishes that the project exists and that the contractor is named in an official narrative; the underlying procurement file (NOA / contract / amount) is still required for full source review.</w:t>
      </w:r>
    </w:p>
    <w:p>
      <w:pPr>
        <w:numPr>
          <w:ilvl w:val="0"/>
          <w:numId w:val="1001"/>
        </w:numPr>
        <w:pStyle w:val="Compact"/>
      </w:pPr>
      <w:r>
        <w:rPr>
          <w:bCs/>
          <w:b/>
        </w:rPr>
        <w:t xml:space="preserve">D</w:t>
      </w:r>
      <w:r>
        <w:t xml:space="preserve"> </w:t>
      </w:r>
      <w:r>
        <w:t xml:space="preserve">— Company portfolio or unofficial media / private lead: Source is a company portfolio page, private Facebook post, unofficial page, ordinary media report, YouTube content, Scribd upload, citizen post, or non-government commentary. Listed as a lead only — not treated as proof of award and not the same as an official LGU page.</w:t>
      </w:r>
    </w:p>
    <w:p>
      <w:pPr>
        <w:numPr>
          <w:ilvl w:val="0"/>
          <w:numId w:val="1001"/>
        </w:numPr>
        <w:pStyle w:val="Compact"/>
      </w:pPr>
      <w:r>
        <w:rPr>
          <w:bCs/>
          <w:b/>
        </w:rPr>
        <w:t xml:space="preserve">E</w:t>
      </w:r>
      <w:r>
        <w:t xml:space="preserve"> </w:t>
      </w:r>
      <w:r>
        <w:t xml:space="preserve">— Needs manual verification: Search-indexed reference whose underlying official document was not retrievable in this pass (e.g., portal blocked by anti-bot challenge), screenshots are incomplete, links are dead, OCR is unclear, or the official status of the page cannot be confirmed. Manual retrieval or an official record request is needed.</w:t>
      </w:r>
    </w:p>
    <w:p>
      <w:pPr>
        <w:pStyle w:val="FirstParagraph"/>
      </w:pPr>
      <w:r>
        <w:rPr>
          <w:bCs/>
          <w:b/>
        </w:rPr>
        <w:t xml:space="preserve">About Tier C:</w:t>
      </w:r>
      <w:r>
        <w:t xml:space="preserve"> </w:t>
      </w:r>
      <w:r>
        <w:t xml:space="preserve">Tier C records come from official performance, audit, project-reference, or transparency sources such as CPES, Sumbong sa Pangulo, BetterGov/DPWH, or similar government/public-record databases. These confirm that a project or contractor reference appears in an official or public-record dataset, but they are not the same as a Notice of Award, contract agreement, or Notice to Proceed unless those documents are also located.</w:t>
      </w:r>
    </w:p>
    <w:bookmarkEnd w:id="24"/>
    <w:bookmarkStart w:id="25" w:name="summary-of-located-records-phase-2"/>
    <w:p>
      <w:pPr>
        <w:pStyle w:val="Heading2"/>
      </w:pPr>
      <w:r>
        <w:t xml:space="preserve">Summary of located records (Phase 2)</w:t>
      </w:r>
    </w:p>
    <w:p>
      <w:pPr>
        <w:numPr>
          <w:ilvl w:val="0"/>
          <w:numId w:val="1002"/>
        </w:numPr>
        <w:pStyle w:val="Compact"/>
      </w:pPr>
      <w:r>
        <w:t xml:space="preserve">Total records:</w:t>
      </w:r>
      <w:r>
        <w:t xml:space="preserve"> </w:t>
      </w:r>
      <w:r>
        <w:rPr>
          <w:bCs/>
          <w:b/>
        </w:rPr>
        <w:t xml:space="preserve">328</w:t>
      </w:r>
    </w:p>
    <w:p>
      <w:pPr>
        <w:numPr>
          <w:ilvl w:val="0"/>
          <w:numId w:val="1002"/>
        </w:numPr>
        <w:pStyle w:val="Compact"/>
      </w:pPr>
      <w:r>
        <w:t xml:space="preserve">Tier A (verified award/contract):</w:t>
      </w:r>
      <w:r>
        <w:t xml:space="preserve"> </w:t>
      </w:r>
      <w:r>
        <w:rPr>
          <w:bCs/>
          <w:b/>
        </w:rPr>
        <w:t xml:space="preserve">17</w:t>
      </w:r>
      <w:r>
        <w:t xml:space="preserve"> </w:t>
      </w:r>
      <w:r>
        <w:t xml:space="preserve">— subtotal</w:t>
      </w:r>
      <w:r>
        <w:t xml:space="preserve"> </w:t>
      </w:r>
      <w:r>
        <w:rPr>
          <w:bCs/>
          <w:b/>
        </w:rPr>
        <w:t xml:space="preserve">PHP 5,337,175,477.33</w:t>
      </w:r>
    </w:p>
    <w:p>
      <w:pPr>
        <w:numPr>
          <w:ilvl w:val="0"/>
          <w:numId w:val="1002"/>
        </w:numPr>
        <w:pStyle w:val="Compact"/>
      </w:pPr>
      <w:r>
        <w:t xml:space="preserve">Tier B (procurement lead):</w:t>
      </w:r>
      <w:r>
        <w:t xml:space="preserve"> </w:t>
      </w:r>
      <w:r>
        <w:rPr>
          <w:bCs/>
          <w:b/>
        </w:rPr>
        <w:t xml:space="preserve">1</w:t>
      </w:r>
    </w:p>
    <w:p>
      <w:pPr>
        <w:numPr>
          <w:ilvl w:val="0"/>
          <w:numId w:val="1002"/>
        </w:numPr>
        <w:pStyle w:val="Compact"/>
      </w:pPr>
      <w:r>
        <w:t xml:space="preserve">Tier C (CPES + BetterGov DPWH transparency):</w:t>
      </w:r>
      <w:r>
        <w:t xml:space="preserve"> </w:t>
      </w:r>
      <w:r>
        <w:rPr>
          <w:bCs/>
          <w:b/>
        </w:rPr>
        <w:t xml:space="preserve">293</w:t>
      </w:r>
      <w:r>
        <w:t xml:space="preserve"> </w:t>
      </w:r>
      <w:r>
        <w:t xml:space="preserve">— subtotal</w:t>
      </w:r>
      <w:r>
        <w:t xml:space="preserve"> </w:t>
      </w:r>
      <w:r>
        <w:rPr>
          <w:bCs/>
          <w:b/>
        </w:rPr>
        <w:t xml:space="preserve">PHP 12,224,648,165.58</w:t>
      </w:r>
    </w:p>
    <w:p>
      <w:pPr>
        <w:numPr>
          <w:ilvl w:val="0"/>
          <w:numId w:val="1002"/>
        </w:numPr>
        <w:pStyle w:val="Compact"/>
      </w:pPr>
      <w:r>
        <w:t xml:space="preserve">Tier D (company / media lead):</w:t>
      </w:r>
      <w:r>
        <w:t xml:space="preserve"> </w:t>
      </w:r>
      <w:r>
        <w:rPr>
          <w:bCs/>
          <w:b/>
        </w:rPr>
        <w:t xml:space="preserve">7</w:t>
      </w:r>
    </w:p>
    <w:p>
      <w:pPr>
        <w:numPr>
          <w:ilvl w:val="0"/>
          <w:numId w:val="1002"/>
        </w:numPr>
        <w:pStyle w:val="Compact"/>
      </w:pPr>
      <w:r>
        <w:t xml:space="preserve">Tier E (needs verification):</w:t>
      </w:r>
      <w:r>
        <w:t xml:space="preserve"> </w:t>
      </w:r>
      <w:r>
        <w:rPr>
          <w:bCs/>
          <w:b/>
        </w:rPr>
        <w:t xml:space="preserve">10</w:t>
      </w:r>
    </w:p>
    <w:p>
      <w:pPr>
        <w:numPr>
          <w:ilvl w:val="0"/>
          <w:numId w:val="1002"/>
        </w:numPr>
        <w:pStyle w:val="Compact"/>
      </w:pPr>
      <w:r>
        <w:t xml:space="preserve">Scope entities with located records: 24 of 26 (Provincial Government + 25 LGUs)</w:t>
      </w:r>
    </w:p>
    <w:p>
      <w:pPr>
        <w:numPr>
          <w:ilvl w:val="0"/>
          <w:numId w:val="1002"/>
        </w:numPr>
        <w:pStyle w:val="Compact"/>
      </w:pPr>
      <w:r>
        <w:t xml:space="preserve">Scope entities pending deeper LGU BAC / loan review: 2 of 26</w:t>
      </w:r>
    </w:p>
    <w:p>
      <w:pPr>
        <w:numPr>
          <w:ilvl w:val="0"/>
          <w:numId w:val="1002"/>
        </w:numPr>
        <w:pStyle w:val="Compact"/>
      </w:pPr>
      <w:r>
        <w:t xml:space="preserve">Project/location buckets with located records: 29 (includes DPWH corridor / DEO buckets that fall outside the 26-entity scope)</w:t>
      </w:r>
    </w:p>
    <w:bookmarkEnd w:id="25"/>
    <w:bookmarkStart w:id="26" w:name="per-lgu-breakdown"/>
    <w:p>
      <w:pPr>
        <w:pStyle w:val="Heading2"/>
      </w:pPr>
      <w:r>
        <w:t xml:space="preserve">Per-LGU breakdown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LGU</w:t>
            </w:r>
          </w:p>
        </w:tc>
        <w:tc>
          <w:tcPr/>
          <w:p>
            <w:pPr>
              <w:pStyle w:val="Compact"/>
              <w:jc w:val="right"/>
            </w:pPr>
            <w:r>
              <w:t xml:space="preserve">Total</w:t>
            </w:r>
          </w:p>
        </w:tc>
        <w:tc>
          <w:tcPr/>
          <w:p>
            <w:pPr>
              <w:pStyle w:val="Compact"/>
              <w:jc w:val="right"/>
            </w:pPr>
            <w:r>
              <w:t xml:space="preserve">A</w:t>
            </w:r>
          </w:p>
        </w:tc>
        <w:tc>
          <w:tcPr/>
          <w:p>
            <w:pPr>
              <w:pStyle w:val="Compact"/>
              <w:jc w:val="right"/>
            </w:pPr>
            <w:r>
              <w:t xml:space="preserve">B</w:t>
            </w:r>
          </w:p>
        </w:tc>
        <w:tc>
          <w:tcPr/>
          <w:p>
            <w:pPr>
              <w:pStyle w:val="Compact"/>
              <w:jc w:val="right"/>
            </w:pPr>
            <w:r>
              <w:t xml:space="preserve">C</w:t>
            </w:r>
          </w:p>
        </w:tc>
        <w:tc>
          <w:tcPr/>
          <w:p>
            <w:pPr>
              <w:pStyle w:val="Compact"/>
              <w:jc w:val="right"/>
            </w:pPr>
            <w:r>
              <w:t xml:space="preserve">D</w:t>
            </w:r>
          </w:p>
        </w:tc>
        <w:tc>
          <w:tcPr/>
          <w:p>
            <w:pPr>
              <w:pStyle w:val="Compact"/>
              <w:jc w:val="right"/>
            </w:pPr>
            <w:r>
              <w:t xml:space="preserve">E</w:t>
            </w:r>
          </w:p>
        </w:tc>
      </w:tr>
      <w:tr>
        <w:tc>
          <w:tcPr/>
          <w:p>
            <w:pPr>
              <w:pStyle w:val="Compact"/>
              <w:jc w:val="left"/>
            </w:pPr>
            <w:r>
              <w:t xml:space="preserve">Provincial Government of Negros Oriental</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Bais City</w:t>
            </w:r>
          </w:p>
        </w:tc>
        <w:tc>
          <w:tcPr/>
          <w:p>
            <w:pPr>
              <w:pStyle w:val="Compact"/>
              <w:jc w:val="right"/>
            </w:pPr>
            <w:r>
              <w:t xml:space="preserve">55</w:t>
            </w:r>
          </w:p>
        </w:tc>
        <w:tc>
          <w:tcPr/>
          <w:p>
            <w:pPr>
              <w:pStyle w:val="Compact"/>
              <w:jc w:val="right"/>
            </w:pPr>
            <w:r>
              <w:t xml:space="preserve">3</w:t>
            </w:r>
          </w:p>
        </w:tc>
        <w:tc>
          <w:tcPr/>
          <w:p>
            <w:pPr>
              <w:pStyle w:val="Compact"/>
              <w:jc w:val="right"/>
            </w:pPr>
            <w:r>
              <w:t xml:space="preserve">0</w:t>
            </w:r>
          </w:p>
        </w:tc>
        <w:tc>
          <w:tcPr/>
          <w:p>
            <w:pPr>
              <w:pStyle w:val="Compact"/>
              <w:jc w:val="right"/>
            </w:pPr>
            <w:r>
              <w:t xml:space="preserve">51</w:t>
            </w:r>
          </w:p>
        </w:tc>
        <w:tc>
          <w:tcPr/>
          <w:p>
            <w:pPr>
              <w:pStyle w:val="Compact"/>
              <w:jc w:val="right"/>
            </w:pPr>
            <w:r>
              <w:t xml:space="preserve">1</w:t>
            </w:r>
          </w:p>
        </w:tc>
        <w:tc>
          <w:tcPr/>
          <w:p>
            <w:pPr>
              <w:pStyle w:val="Compact"/>
              <w:jc w:val="right"/>
            </w:pPr>
            <w:r>
              <w:t xml:space="preserve">0</w:t>
            </w:r>
          </w:p>
        </w:tc>
      </w:tr>
      <w:tr>
        <w:tc>
          <w:tcPr/>
          <w:p>
            <w:pPr>
              <w:pStyle w:val="Compact"/>
              <w:jc w:val="left"/>
            </w:pPr>
            <w:r>
              <w:t xml:space="preserve">Bayawan City</w:t>
            </w:r>
          </w:p>
        </w:tc>
        <w:tc>
          <w:tcPr/>
          <w:p>
            <w:pPr>
              <w:pStyle w:val="Compact"/>
              <w:jc w:val="right"/>
            </w:pPr>
            <w:r>
              <w:t xml:space="preserve">18</w:t>
            </w:r>
          </w:p>
        </w:tc>
        <w:tc>
          <w:tcPr/>
          <w:p>
            <w:pPr>
              <w:pStyle w:val="Compact"/>
              <w:jc w:val="right"/>
            </w:pPr>
            <w:r>
              <w:t xml:space="preserve">2</w:t>
            </w:r>
          </w:p>
        </w:tc>
        <w:tc>
          <w:tcPr/>
          <w:p>
            <w:pPr>
              <w:pStyle w:val="Compact"/>
              <w:jc w:val="right"/>
            </w:pPr>
            <w:r>
              <w:t xml:space="preserve">0</w:t>
            </w:r>
          </w:p>
        </w:tc>
        <w:tc>
          <w:tcPr/>
          <w:p>
            <w:pPr>
              <w:pStyle w:val="Compact"/>
              <w:jc w:val="right"/>
            </w:pPr>
            <w:r>
              <w:t xml:space="preserve">15</w:t>
            </w:r>
          </w:p>
        </w:tc>
        <w:tc>
          <w:tcPr/>
          <w:p>
            <w:pPr>
              <w:pStyle w:val="Compact"/>
              <w:jc w:val="right"/>
            </w:pPr>
            <w:r>
              <w:t xml:space="preserve">1</w:t>
            </w:r>
          </w:p>
        </w:tc>
        <w:tc>
          <w:tcPr/>
          <w:p>
            <w:pPr>
              <w:pStyle w:val="Compact"/>
              <w:jc w:val="right"/>
            </w:pPr>
            <w:r>
              <w:t xml:space="preserve">0</w:t>
            </w:r>
          </w:p>
        </w:tc>
      </w:tr>
      <w:tr>
        <w:tc>
          <w:tcPr/>
          <w:p>
            <w:pPr>
              <w:pStyle w:val="Compact"/>
              <w:jc w:val="left"/>
            </w:pPr>
            <w:r>
              <w:t xml:space="preserve">Canlaon City</w:t>
            </w:r>
          </w:p>
        </w:tc>
        <w:tc>
          <w:tcPr/>
          <w:p>
            <w:pPr>
              <w:pStyle w:val="Compact"/>
              <w:jc w:val="right"/>
            </w:pPr>
            <w:r>
              <w:t xml:space="preserve">2</w:t>
            </w:r>
          </w:p>
        </w:tc>
        <w:tc>
          <w:tcPr/>
          <w:p>
            <w:pPr>
              <w:pStyle w:val="Compact"/>
              <w:jc w:val="right"/>
            </w:pPr>
            <w:r>
              <w:t xml:space="preserve">0</w:t>
            </w:r>
          </w:p>
        </w:tc>
        <w:tc>
          <w:tcPr/>
          <w:p>
            <w:pPr>
              <w:pStyle w:val="Compact"/>
              <w:jc w:val="right"/>
            </w:pPr>
            <w:r>
              <w:t xml:space="preserve">0</w:t>
            </w:r>
          </w:p>
        </w:tc>
        <w:tc>
          <w:tcPr/>
          <w:p>
            <w:pPr>
              <w:pStyle w:val="Compact"/>
              <w:jc w:val="right"/>
            </w:pPr>
            <w:r>
              <w:t xml:space="preserve">2</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Dumaguete City</w:t>
            </w:r>
          </w:p>
        </w:tc>
        <w:tc>
          <w:tcPr/>
          <w:p>
            <w:pPr>
              <w:pStyle w:val="Compact"/>
              <w:jc w:val="right"/>
            </w:pPr>
            <w:r>
              <w:t xml:space="preserve">82</w:t>
            </w:r>
          </w:p>
        </w:tc>
        <w:tc>
          <w:tcPr/>
          <w:p>
            <w:pPr>
              <w:pStyle w:val="Compact"/>
              <w:jc w:val="right"/>
            </w:pPr>
            <w:r>
              <w:t xml:space="preserve">6</w:t>
            </w:r>
          </w:p>
        </w:tc>
        <w:tc>
          <w:tcPr/>
          <w:p>
            <w:pPr>
              <w:pStyle w:val="Compact"/>
              <w:jc w:val="right"/>
            </w:pPr>
            <w:r>
              <w:t xml:space="preserve">1</w:t>
            </w:r>
          </w:p>
        </w:tc>
        <w:tc>
          <w:tcPr/>
          <w:p>
            <w:pPr>
              <w:pStyle w:val="Compact"/>
              <w:jc w:val="right"/>
            </w:pPr>
            <w:r>
              <w:t xml:space="preserve">73</w:t>
            </w:r>
          </w:p>
        </w:tc>
        <w:tc>
          <w:tcPr/>
          <w:p>
            <w:pPr>
              <w:pStyle w:val="Compact"/>
              <w:jc w:val="right"/>
            </w:pPr>
            <w:r>
              <w:t xml:space="preserve">2</w:t>
            </w:r>
          </w:p>
        </w:tc>
        <w:tc>
          <w:tcPr/>
          <w:p>
            <w:pPr>
              <w:pStyle w:val="Compact"/>
              <w:jc w:val="right"/>
            </w:pPr>
            <w:r>
              <w:t xml:space="preserve">0</w:t>
            </w:r>
          </w:p>
        </w:tc>
      </w:tr>
      <w:tr>
        <w:tc>
          <w:tcPr/>
          <w:p>
            <w:pPr>
              <w:pStyle w:val="Compact"/>
              <w:jc w:val="left"/>
            </w:pPr>
            <w:r>
              <w:t xml:space="preserve">Guihulngan City</w:t>
            </w:r>
          </w:p>
        </w:tc>
        <w:tc>
          <w:tcPr/>
          <w:p>
            <w:pPr>
              <w:pStyle w:val="Compact"/>
              <w:jc w:val="right"/>
            </w:pPr>
            <w:r>
              <w:t xml:space="preserve">3</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2</w:t>
            </w:r>
          </w:p>
        </w:tc>
        <w:tc>
          <w:tcPr/>
          <w:p>
            <w:pPr>
              <w:pStyle w:val="Compact"/>
              <w:jc w:val="right"/>
            </w:pPr>
            <w:r>
              <w:t xml:space="preserve">0</w:t>
            </w:r>
          </w:p>
        </w:tc>
      </w:tr>
      <w:tr>
        <w:tc>
          <w:tcPr/>
          <w:p>
            <w:pPr>
              <w:pStyle w:val="Compact"/>
              <w:jc w:val="left"/>
            </w:pPr>
            <w:r>
              <w:t xml:space="preserve">Tanjay City</w:t>
            </w:r>
          </w:p>
        </w:tc>
        <w:tc>
          <w:tcPr/>
          <w:p>
            <w:pPr>
              <w:pStyle w:val="Compact"/>
              <w:jc w:val="right"/>
            </w:pPr>
            <w:r>
              <w:t xml:space="preserve">13</w:t>
            </w:r>
          </w:p>
        </w:tc>
        <w:tc>
          <w:tcPr/>
          <w:p>
            <w:pPr>
              <w:pStyle w:val="Compact"/>
              <w:jc w:val="right"/>
            </w:pPr>
            <w:r>
              <w:t xml:space="preserve">2</w:t>
            </w:r>
          </w:p>
        </w:tc>
        <w:tc>
          <w:tcPr/>
          <w:p>
            <w:pPr>
              <w:pStyle w:val="Compact"/>
              <w:jc w:val="right"/>
            </w:pPr>
            <w:r>
              <w:t xml:space="preserve">0</w:t>
            </w:r>
          </w:p>
        </w:tc>
        <w:tc>
          <w:tcPr/>
          <w:p>
            <w:pPr>
              <w:pStyle w:val="Compact"/>
              <w:jc w:val="right"/>
            </w:pPr>
            <w:r>
              <w:t xml:space="preserve">10</w:t>
            </w:r>
          </w:p>
        </w:tc>
        <w:tc>
          <w:tcPr/>
          <w:p>
            <w:pPr>
              <w:pStyle w:val="Compact"/>
              <w:jc w:val="right"/>
            </w:pPr>
            <w:r>
              <w:t xml:space="preserve">1</w:t>
            </w:r>
          </w:p>
        </w:tc>
        <w:tc>
          <w:tcPr/>
          <w:p>
            <w:pPr>
              <w:pStyle w:val="Compact"/>
              <w:jc w:val="right"/>
            </w:pPr>
            <w:r>
              <w:t xml:space="preserve">0</w:t>
            </w:r>
          </w:p>
        </w:tc>
      </w:tr>
      <w:tr>
        <w:tc>
          <w:tcPr/>
          <w:p>
            <w:pPr>
              <w:pStyle w:val="Compact"/>
              <w:jc w:val="left"/>
            </w:pPr>
            <w:r>
              <w:t xml:space="preserve">Amlan</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Ayungon</w:t>
            </w:r>
          </w:p>
        </w:tc>
        <w:tc>
          <w:tcPr/>
          <w:p>
            <w:pPr>
              <w:pStyle w:val="Compact"/>
              <w:jc w:val="right"/>
            </w:pPr>
            <w:r>
              <w:t xml:space="preserve">5</w:t>
            </w:r>
          </w:p>
        </w:tc>
        <w:tc>
          <w:tcPr/>
          <w:p>
            <w:pPr>
              <w:pStyle w:val="Compact"/>
              <w:jc w:val="right"/>
            </w:pPr>
            <w:r>
              <w:t xml:space="preserve">0</w:t>
            </w:r>
          </w:p>
        </w:tc>
        <w:tc>
          <w:tcPr/>
          <w:p>
            <w:pPr>
              <w:pStyle w:val="Compact"/>
              <w:jc w:val="right"/>
            </w:pPr>
            <w:r>
              <w:t xml:space="preserve">0</w:t>
            </w:r>
          </w:p>
        </w:tc>
        <w:tc>
          <w:tcPr/>
          <w:p>
            <w:pPr>
              <w:pStyle w:val="Compact"/>
              <w:jc w:val="right"/>
            </w:pPr>
            <w:r>
              <w:t xml:space="preserve">5</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Bacong</w:t>
            </w:r>
          </w:p>
        </w:tc>
        <w:tc>
          <w:tcPr/>
          <w:p>
            <w:pPr>
              <w:pStyle w:val="Compact"/>
              <w:jc w:val="right"/>
            </w:pPr>
            <w:r>
              <w:t xml:space="preserve">7</w:t>
            </w:r>
          </w:p>
        </w:tc>
        <w:tc>
          <w:tcPr/>
          <w:p>
            <w:pPr>
              <w:pStyle w:val="Compact"/>
              <w:jc w:val="right"/>
            </w:pPr>
            <w:r>
              <w:t xml:space="preserve">0</w:t>
            </w:r>
          </w:p>
        </w:tc>
        <w:tc>
          <w:tcPr/>
          <w:p>
            <w:pPr>
              <w:pStyle w:val="Compact"/>
              <w:jc w:val="right"/>
            </w:pPr>
            <w:r>
              <w:t xml:space="preserve">0</w:t>
            </w:r>
          </w:p>
        </w:tc>
        <w:tc>
          <w:tcPr/>
          <w:p>
            <w:pPr>
              <w:pStyle w:val="Compact"/>
              <w:jc w:val="right"/>
            </w:pPr>
            <w:r>
              <w:t xml:space="preserve">7</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Basay</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Bindoy</w:t>
            </w:r>
          </w:p>
        </w:tc>
        <w:tc>
          <w:tcPr/>
          <w:p>
            <w:pPr>
              <w:pStyle w:val="Compact"/>
              <w:jc w:val="right"/>
            </w:pPr>
            <w:r>
              <w:t xml:space="preserve">2</w:t>
            </w:r>
          </w:p>
        </w:tc>
        <w:tc>
          <w:tcPr/>
          <w:p>
            <w:pPr>
              <w:pStyle w:val="Compact"/>
              <w:jc w:val="right"/>
            </w:pPr>
            <w:r>
              <w:t xml:space="preserve">0</w:t>
            </w:r>
          </w:p>
        </w:tc>
        <w:tc>
          <w:tcPr/>
          <w:p>
            <w:pPr>
              <w:pStyle w:val="Compact"/>
              <w:jc w:val="right"/>
            </w:pPr>
            <w:r>
              <w:t xml:space="preserve">0</w:t>
            </w:r>
          </w:p>
        </w:tc>
        <w:tc>
          <w:tcPr/>
          <w:p>
            <w:pPr>
              <w:pStyle w:val="Compact"/>
              <w:jc w:val="right"/>
            </w:pPr>
            <w:r>
              <w:t xml:space="preserve">2</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Dauin</w:t>
            </w:r>
          </w:p>
        </w:tc>
        <w:tc>
          <w:tcPr/>
          <w:p>
            <w:pPr>
              <w:pStyle w:val="Compact"/>
              <w:jc w:val="right"/>
            </w:pPr>
            <w:r>
              <w:t xml:space="preserve">11</w:t>
            </w:r>
          </w:p>
        </w:tc>
        <w:tc>
          <w:tcPr/>
          <w:p>
            <w:pPr>
              <w:pStyle w:val="Compact"/>
              <w:jc w:val="right"/>
            </w:pPr>
            <w:r>
              <w:t xml:space="preserve">0</w:t>
            </w:r>
          </w:p>
        </w:tc>
        <w:tc>
          <w:tcPr/>
          <w:p>
            <w:pPr>
              <w:pStyle w:val="Compact"/>
              <w:jc w:val="right"/>
            </w:pPr>
            <w:r>
              <w:t xml:space="preserve">0</w:t>
            </w:r>
          </w:p>
        </w:tc>
        <w:tc>
          <w:tcPr/>
          <w:p>
            <w:pPr>
              <w:pStyle w:val="Compact"/>
              <w:jc w:val="right"/>
            </w:pPr>
            <w:r>
              <w:t xml:space="preserve">11</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Jimalalud</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La Libertad</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Mabinay</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Manjuyod</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Pamplona</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San Jose</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Santa Catalina</w:t>
            </w:r>
          </w:p>
        </w:tc>
        <w:tc>
          <w:tcPr/>
          <w:p>
            <w:pPr>
              <w:pStyle w:val="Compact"/>
              <w:jc w:val="right"/>
            </w:pPr>
            <w:r>
              <w:t xml:space="preserve">10</w:t>
            </w:r>
          </w:p>
        </w:tc>
        <w:tc>
          <w:tcPr/>
          <w:p>
            <w:pPr>
              <w:pStyle w:val="Compact"/>
              <w:jc w:val="right"/>
            </w:pPr>
            <w:r>
              <w:t xml:space="preserve">0</w:t>
            </w:r>
          </w:p>
        </w:tc>
        <w:tc>
          <w:tcPr/>
          <w:p>
            <w:pPr>
              <w:pStyle w:val="Compact"/>
              <w:jc w:val="right"/>
            </w:pPr>
            <w:r>
              <w:t xml:space="preserve">0</w:t>
            </w:r>
          </w:p>
        </w:tc>
        <w:tc>
          <w:tcPr/>
          <w:p>
            <w:pPr>
              <w:pStyle w:val="Compact"/>
              <w:jc w:val="right"/>
            </w:pPr>
            <w:r>
              <w:t xml:space="preserve">10</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Siaton</w:t>
            </w:r>
          </w:p>
        </w:tc>
        <w:tc>
          <w:tcPr/>
          <w:p>
            <w:pPr>
              <w:pStyle w:val="Compact"/>
              <w:jc w:val="right"/>
            </w:pPr>
            <w:r>
              <w:t xml:space="preserve">19</w:t>
            </w:r>
          </w:p>
        </w:tc>
        <w:tc>
          <w:tcPr/>
          <w:p>
            <w:pPr>
              <w:pStyle w:val="Compact"/>
              <w:jc w:val="right"/>
            </w:pPr>
            <w:r>
              <w:t xml:space="preserve">0</w:t>
            </w:r>
          </w:p>
        </w:tc>
        <w:tc>
          <w:tcPr/>
          <w:p>
            <w:pPr>
              <w:pStyle w:val="Compact"/>
              <w:jc w:val="right"/>
            </w:pPr>
            <w:r>
              <w:t xml:space="preserve">0</w:t>
            </w:r>
          </w:p>
        </w:tc>
        <w:tc>
          <w:tcPr/>
          <w:p>
            <w:pPr>
              <w:pStyle w:val="Compact"/>
              <w:jc w:val="right"/>
            </w:pPr>
            <w:r>
              <w:t xml:space="preserve">18</w:t>
            </w:r>
          </w:p>
        </w:tc>
        <w:tc>
          <w:tcPr/>
          <w:p>
            <w:pPr>
              <w:pStyle w:val="Compact"/>
              <w:jc w:val="right"/>
            </w:pPr>
            <w:r>
              <w:t xml:space="preserve">0</w:t>
            </w:r>
          </w:p>
        </w:tc>
        <w:tc>
          <w:tcPr/>
          <w:p>
            <w:pPr>
              <w:pStyle w:val="Compact"/>
              <w:jc w:val="right"/>
            </w:pPr>
            <w:r>
              <w:t xml:space="preserve">1</w:t>
            </w:r>
          </w:p>
        </w:tc>
      </w:tr>
      <w:tr>
        <w:tc>
          <w:tcPr/>
          <w:p>
            <w:pPr>
              <w:pStyle w:val="Compact"/>
              <w:jc w:val="left"/>
            </w:pPr>
            <w:r>
              <w:t xml:space="preserve">Sibulan</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Tayasan</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Valencia</w:t>
            </w:r>
          </w:p>
        </w:tc>
        <w:tc>
          <w:tcPr/>
          <w:p>
            <w:pPr>
              <w:pStyle w:val="Compact"/>
              <w:jc w:val="right"/>
            </w:pPr>
            <w:r>
              <w:t xml:space="preserve">13</w:t>
            </w:r>
          </w:p>
        </w:tc>
        <w:tc>
          <w:tcPr/>
          <w:p>
            <w:pPr>
              <w:pStyle w:val="Compact"/>
              <w:jc w:val="right"/>
            </w:pPr>
            <w:r>
              <w:t xml:space="preserve">0</w:t>
            </w:r>
          </w:p>
        </w:tc>
        <w:tc>
          <w:tcPr/>
          <w:p>
            <w:pPr>
              <w:pStyle w:val="Compact"/>
              <w:jc w:val="right"/>
            </w:pPr>
            <w:r>
              <w:t xml:space="preserve">0</w:t>
            </w:r>
          </w:p>
        </w:tc>
        <w:tc>
          <w:tcPr/>
          <w:p>
            <w:pPr>
              <w:pStyle w:val="Compact"/>
              <w:jc w:val="right"/>
            </w:pPr>
            <w:r>
              <w:t xml:space="preserve">13</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Vallehermoso</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r>
      <w:tr>
        <w:tc>
          <w:tcPr/>
          <w:p>
            <w:pPr>
              <w:pStyle w:val="Compact"/>
              <w:jc w:val="left"/>
            </w:pPr>
            <w:r>
              <w:t xml:space="preserve">Zamboanguita</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c>
          <w:tcPr/>
          <w:p>
            <w:pPr>
              <w:pStyle w:val="Compact"/>
              <w:jc w:val="right"/>
            </w:pPr>
            <w:r>
              <w:t xml:space="preserve">4</w:t>
            </w:r>
          </w:p>
        </w:tc>
        <w:tc>
          <w:tcPr/>
          <w:p>
            <w:pPr>
              <w:pStyle w:val="Compact"/>
              <w:jc w:val="right"/>
            </w:pPr>
            <w:r>
              <w:t xml:space="preserve">0</w:t>
            </w:r>
          </w:p>
        </w:tc>
        <w:tc>
          <w:tcPr/>
          <w:p>
            <w:pPr>
              <w:pStyle w:val="Compact"/>
              <w:jc w:val="right"/>
            </w:pPr>
            <w:r>
              <w:t xml:space="preserve">0</w:t>
            </w:r>
          </w:p>
        </w:tc>
      </w:tr>
    </w:tbl>
    <w:bookmarkEnd w:id="26"/>
    <w:bookmarkStart w:id="37" w:name="featured-verified-records-tier-a"/>
    <w:p>
      <w:pPr>
        <w:pStyle w:val="Heading2"/>
      </w:pPr>
      <w:r>
        <w:t xml:space="preserve">Featured verified records (Tier A)</w:t>
      </w:r>
    </w:p>
    <w:tbl>
      <w:tblPr>
        <w:tblStyle w:val="Table"/>
        <w:tblW w:type="pct" w:w="5000"/>
        <w:tblLook w:firstRow="1" w:lastRow="0" w:firstColumn="0" w:lastColumn="0" w:noHBand="0" w:noVBand="0" w:val="0020"/>
        <w:jc w:val="start"/>
      </w:tblPr>
      <w:tblGrid>
        <w:gridCol w:w="1250"/>
        <w:gridCol w:w="1250"/>
        <w:gridCol w:w="1250"/>
        <w:gridCol w:w="1667"/>
        <w:gridCol w:w="1250"/>
        <w:gridCol w:w="1250"/>
      </w:tblGrid>
      <w:tr>
        <w:trPr>
          <w:tblHeader w:val="true"/>
        </w:trPr>
        <w:tc>
          <w:tcPr/>
          <w:p>
            <w:pPr>
              <w:pStyle w:val="Compact"/>
              <w:jc w:val="left"/>
            </w:pPr>
            <w:r>
              <w:t xml:space="preserve">Project</w:t>
            </w:r>
          </w:p>
        </w:tc>
        <w:tc>
          <w:tcPr/>
          <w:p>
            <w:pPr>
              <w:pStyle w:val="Compact"/>
              <w:jc w:val="left"/>
            </w:pPr>
            <w:r>
              <w:t xml:space="preserve">Entity</w:t>
            </w:r>
          </w:p>
        </w:tc>
        <w:tc>
          <w:tcPr/>
          <w:p>
            <w:pPr>
              <w:pStyle w:val="Compact"/>
              <w:jc w:val="left"/>
            </w:pPr>
            <w:r>
              <w:t xml:space="preserve">Year</w:t>
            </w:r>
          </w:p>
        </w:tc>
        <w:tc>
          <w:tcPr/>
          <w:p>
            <w:pPr>
              <w:pStyle w:val="Compact"/>
              <w:jc w:val="right"/>
            </w:pPr>
            <w:r>
              <w:t xml:space="preserve">Amount (PHP)</w:t>
            </w:r>
          </w:p>
        </w:tc>
        <w:tc>
          <w:tcPr/>
          <w:p>
            <w:pPr>
              <w:pStyle w:val="Compact"/>
              <w:jc w:val="left"/>
            </w:pPr>
            <w:r>
              <w:t xml:space="preserve">Contractor</w:t>
            </w:r>
          </w:p>
        </w:tc>
        <w:tc>
          <w:tcPr/>
          <w:p>
            <w:pPr>
              <w:pStyle w:val="Compact"/>
              <w:jc w:val="left"/>
            </w:pPr>
            <w:r>
              <w:t xml:space="preserve">Source</w:t>
            </w:r>
          </w:p>
        </w:tc>
      </w:tr>
      <w:tr>
        <w:tc>
          <w:tcPr/>
          <w:p>
            <w:pPr>
              <w:pStyle w:val="Compact"/>
              <w:jc w:val="left"/>
            </w:pPr>
            <w:r>
              <w:t xml:space="preserve">Design &amp; Build for the Construction of the Negros Oriental Medical City, Dumaguete City, Negros Oriental</w:t>
            </w:r>
          </w:p>
        </w:tc>
        <w:tc>
          <w:tcPr/>
          <w:p>
            <w:pPr>
              <w:pStyle w:val="Compact"/>
              <w:jc w:val="left"/>
            </w:pPr>
            <w:r>
              <w:t xml:space="preserve">Provincial Government of Negros Oriental</w:t>
            </w:r>
          </w:p>
        </w:tc>
        <w:tc>
          <w:tcPr/>
          <w:p>
            <w:pPr>
              <w:pStyle w:val="Compact"/>
              <w:jc w:val="left"/>
            </w:pPr>
            <w:r>
              <w:t xml:space="preserve">2024</w:t>
            </w:r>
          </w:p>
        </w:tc>
        <w:tc>
          <w:tcPr/>
          <w:p>
            <w:pPr>
              <w:pStyle w:val="Compact"/>
              <w:jc w:val="right"/>
            </w:pPr>
            <w:r>
              <w:t xml:space="preserve">3,299,899,999.92</w:t>
            </w:r>
          </w:p>
        </w:tc>
        <w:tc>
          <w:tcPr/>
          <w:p>
            <w:pPr>
              <w:pStyle w:val="Compact"/>
              <w:jc w:val="left"/>
            </w:pPr>
            <w:r>
              <w:t xml:space="preserve">PHILSOUTH BUILDERS INC. / TERP ASIA CONSTRUCTION CORP., JV</w:t>
            </w:r>
          </w:p>
        </w:tc>
        <w:tc>
          <w:tcPr/>
          <w:p>
            <w:pPr>
              <w:pStyle w:val="Compact"/>
              <w:jc w:val="left"/>
            </w:pPr>
            <w:hyperlink r:id="rId27">
              <w:r>
                <w:rPr>
                  <w:rStyle w:val="Hyperlink"/>
                </w:rPr>
                <w:t xml:space="preserve">link</w:t>
              </w:r>
            </w:hyperlink>
          </w:p>
        </w:tc>
      </w:tr>
      <w:tr>
        <w:tc>
          <w:tcPr/>
          <w:p>
            <w:pPr>
              <w:pStyle w:val="Compact"/>
              <w:jc w:val="left"/>
            </w:pPr>
            <w:r>
              <w:t xml:space="preserve">Design and Build: Construction of New Negros Oriental Government Center, Dumaguete City, Negros Oriental</w:t>
            </w:r>
          </w:p>
        </w:tc>
        <w:tc>
          <w:tcPr/>
          <w:p>
            <w:pPr>
              <w:pStyle w:val="Compact"/>
              <w:jc w:val="left"/>
            </w:pPr>
            <w:r>
              <w:t xml:space="preserve">Provincial Government of Negros Oriental</w:t>
            </w:r>
          </w:p>
        </w:tc>
        <w:tc>
          <w:tcPr/>
          <w:p>
            <w:pPr>
              <w:pStyle w:val="Compact"/>
              <w:jc w:val="left"/>
            </w:pPr>
            <w:r>
              <w:t xml:space="preserve">2024</w:t>
            </w:r>
          </w:p>
        </w:tc>
        <w:tc>
          <w:tcPr/>
          <w:p>
            <w:pPr>
              <w:pStyle w:val="Compact"/>
              <w:jc w:val="right"/>
            </w:pPr>
            <w:r>
              <w:t xml:space="preserve">1,459,488,828.51</w:t>
            </w:r>
          </w:p>
        </w:tc>
        <w:tc>
          <w:tcPr/>
          <w:p>
            <w:pPr>
              <w:pStyle w:val="Compact"/>
              <w:jc w:val="left"/>
            </w:pPr>
            <w:r>
              <w:t xml:space="preserve">PHILSOUTH BUILDERS, INC.</w:t>
            </w:r>
          </w:p>
        </w:tc>
        <w:tc>
          <w:tcPr/>
          <w:p>
            <w:pPr>
              <w:pStyle w:val="Compact"/>
              <w:jc w:val="left"/>
            </w:pPr>
            <w:hyperlink r:id="rId28">
              <w:r>
                <w:rPr>
                  <w:rStyle w:val="Hyperlink"/>
                </w:rPr>
                <w:t xml:space="preserve">link</w:t>
              </w:r>
            </w:hyperlink>
          </w:p>
        </w:tc>
      </w:tr>
      <w:tr>
        <w:tc>
          <w:tcPr/>
          <w:p>
            <w:pPr>
              <w:pStyle w:val="Compact"/>
              <w:jc w:val="left"/>
            </w:pPr>
            <w:r>
              <w:t xml:space="preserve">Design and Build: Construction/Improvement of Bayawan District Hospital</w:t>
            </w:r>
          </w:p>
        </w:tc>
        <w:tc>
          <w:tcPr/>
          <w:p>
            <w:pPr>
              <w:pStyle w:val="Compact"/>
              <w:jc w:val="left"/>
            </w:pPr>
            <w:r>
              <w:t xml:space="preserve">Provincial Government of Negros Oriental</w:t>
            </w:r>
          </w:p>
        </w:tc>
        <w:tc>
          <w:tcPr/>
          <w:p>
            <w:pPr>
              <w:pStyle w:val="Compact"/>
              <w:jc w:val="left"/>
            </w:pPr>
            <w:r>
              <w:t xml:space="preserve">2025</w:t>
            </w:r>
          </w:p>
        </w:tc>
        <w:tc>
          <w:tcPr/>
          <w:p>
            <w:pPr>
              <w:pStyle w:val="Compact"/>
              <w:jc w:val="right"/>
            </w:pPr>
            <w:r>
              <w:t xml:space="preserve">99,899,665.33</w:t>
            </w:r>
          </w:p>
        </w:tc>
        <w:tc>
          <w:tcPr/>
          <w:p>
            <w:pPr>
              <w:pStyle w:val="Compact"/>
              <w:jc w:val="left"/>
            </w:pPr>
            <w:r>
              <w:t xml:space="preserve">PHILSOUTH BUILDERS, INC.</w:t>
            </w:r>
          </w:p>
        </w:tc>
        <w:tc>
          <w:tcPr/>
          <w:p>
            <w:pPr>
              <w:pStyle w:val="Compact"/>
              <w:jc w:val="left"/>
            </w:pPr>
            <w:hyperlink r:id="rId29">
              <w:r>
                <w:rPr>
                  <w:rStyle w:val="Hyperlink"/>
                </w:rPr>
                <w:t xml:space="preserve">link</w:t>
              </w:r>
            </w:hyperlink>
          </w:p>
        </w:tc>
      </w:tr>
      <w:tr>
        <w:tc>
          <w:tcPr/>
          <w:p>
            <w:pPr>
              <w:pStyle w:val="Compact"/>
              <w:jc w:val="left"/>
            </w:pPr>
            <w:r>
              <w:t xml:space="preserve">Design and Build: Construction/Improvement of Bais District Hospital</w:t>
            </w:r>
          </w:p>
        </w:tc>
        <w:tc>
          <w:tcPr/>
          <w:p>
            <w:pPr>
              <w:pStyle w:val="Compact"/>
              <w:jc w:val="left"/>
            </w:pPr>
            <w:r>
              <w:t xml:space="preserve">Provincial Government of Negros Oriental</w:t>
            </w:r>
          </w:p>
        </w:tc>
        <w:tc>
          <w:tcPr/>
          <w:p>
            <w:pPr>
              <w:pStyle w:val="Compact"/>
              <w:jc w:val="left"/>
            </w:pPr>
            <w:r>
              <w:t xml:space="preserve">2025</w:t>
            </w:r>
          </w:p>
        </w:tc>
        <w:tc>
          <w:tcPr/>
          <w:p>
            <w:pPr>
              <w:pStyle w:val="Compact"/>
              <w:jc w:val="right"/>
            </w:pPr>
            <w:r>
              <w:t xml:space="preserve">99,899,597.38</w:t>
            </w:r>
          </w:p>
        </w:tc>
        <w:tc>
          <w:tcPr/>
          <w:p>
            <w:pPr>
              <w:pStyle w:val="Compact"/>
              <w:jc w:val="left"/>
            </w:pPr>
            <w:r>
              <w:t xml:space="preserve">PHILSOUTH BUILDERS, INC.</w:t>
            </w:r>
          </w:p>
        </w:tc>
        <w:tc>
          <w:tcPr/>
          <w:p>
            <w:pPr>
              <w:pStyle w:val="Compact"/>
              <w:jc w:val="left"/>
            </w:pPr>
            <w:hyperlink r:id="rId30">
              <w:r>
                <w:rPr>
                  <w:rStyle w:val="Hyperlink"/>
                </w:rPr>
                <w:t xml:space="preserve">link</w:t>
              </w:r>
            </w:hyperlink>
          </w:p>
        </w:tc>
      </w:tr>
      <w:tr>
        <w:tc>
          <w:tcPr/>
          <w:p>
            <w:pPr>
              <w:pStyle w:val="Compact"/>
              <w:jc w:val="left"/>
            </w:pPr>
            <w:r>
              <w:t xml:space="preserve">Design and Build: Construction/Improvement of Governor William</w:t>
            </w:r>
            <w:r>
              <w:t xml:space="preserve"> </w:t>
            </w:r>
            <w:r>
              <w:t xml:space="preserve">‘</w:t>
            </w:r>
            <w:r>
              <w:t xml:space="preserve">Billy</w:t>
            </w:r>
            <w:r>
              <w:t xml:space="preserve">’</w:t>
            </w:r>
            <w:r>
              <w:t xml:space="preserve"> </w:t>
            </w:r>
            <w:r>
              <w:t xml:space="preserve">Villegas Memorial Hospital</w:t>
            </w:r>
          </w:p>
        </w:tc>
        <w:tc>
          <w:tcPr/>
          <w:p>
            <w:pPr>
              <w:pStyle w:val="Compact"/>
              <w:jc w:val="left"/>
            </w:pPr>
            <w:r>
              <w:t xml:space="preserve">Provincial Government of Negros Oriental</w:t>
            </w:r>
          </w:p>
        </w:tc>
        <w:tc>
          <w:tcPr/>
          <w:p>
            <w:pPr>
              <w:pStyle w:val="Compact"/>
              <w:jc w:val="left"/>
            </w:pPr>
            <w:r>
              <w:t xml:space="preserve">2025</w:t>
            </w:r>
          </w:p>
        </w:tc>
        <w:tc>
          <w:tcPr/>
          <w:p>
            <w:pPr>
              <w:pStyle w:val="Compact"/>
              <w:jc w:val="right"/>
            </w:pPr>
            <w:r>
              <w:t xml:space="preserve">99,899,502.77</w:t>
            </w:r>
          </w:p>
        </w:tc>
        <w:tc>
          <w:tcPr/>
          <w:p>
            <w:pPr>
              <w:pStyle w:val="Compact"/>
              <w:jc w:val="left"/>
            </w:pPr>
            <w:r>
              <w:t xml:space="preserve">PHILSOUTH BUILDERS, INC.</w:t>
            </w:r>
          </w:p>
        </w:tc>
        <w:tc>
          <w:tcPr/>
          <w:p>
            <w:pPr>
              <w:pStyle w:val="Compact"/>
              <w:jc w:val="left"/>
            </w:pPr>
            <w:hyperlink r:id="rId31">
              <w:r>
                <w:rPr>
                  <w:rStyle w:val="Hyperlink"/>
                </w:rPr>
                <w:t xml:space="preserve">link</w:t>
              </w:r>
            </w:hyperlink>
          </w:p>
        </w:tc>
      </w:tr>
      <w:tr>
        <w:tc>
          <w:tcPr/>
          <w:p>
            <w:pPr>
              <w:pStyle w:val="Compact"/>
              <w:jc w:val="left"/>
            </w:pPr>
            <w:r>
              <w:t xml:space="preserve">Construction of Cabanlutan Bridge, Bais City, Negros Oriental</w:t>
            </w:r>
          </w:p>
        </w:tc>
        <w:tc>
          <w:tcPr/>
          <w:p>
            <w:pPr>
              <w:pStyle w:val="Compact"/>
              <w:jc w:val="left"/>
            </w:pPr>
            <w:r>
              <w:t xml:space="preserve">Provincial Government of Negros Oriental</w:t>
            </w:r>
          </w:p>
        </w:tc>
        <w:tc>
          <w:tcPr/>
          <w:p>
            <w:pPr>
              <w:pStyle w:val="Compact"/>
              <w:jc w:val="left"/>
            </w:pPr>
            <w:r>
              <w:t xml:space="preserve">2025</w:t>
            </w:r>
          </w:p>
        </w:tc>
        <w:tc>
          <w:tcPr/>
          <w:p>
            <w:pPr>
              <w:pStyle w:val="Compact"/>
              <w:jc w:val="right"/>
            </w:pPr>
            <w:r>
              <w:t xml:space="preserve">79,537,467.42</w:t>
            </w:r>
          </w:p>
        </w:tc>
        <w:tc>
          <w:tcPr/>
          <w:p>
            <w:pPr>
              <w:pStyle w:val="Compact"/>
              <w:jc w:val="left"/>
            </w:pPr>
            <w:r>
              <w:t xml:space="preserve">PHILSOUTH BUILDERS INC. AND BIGFOOT CONSTRUCTION &amp; SUPPLY - JOINT VENTURE</w:t>
            </w:r>
          </w:p>
        </w:tc>
        <w:tc>
          <w:tcPr/>
          <w:p>
            <w:pPr>
              <w:pStyle w:val="Compact"/>
              <w:jc w:val="left"/>
            </w:pPr>
            <w:hyperlink r:id="rId32">
              <w:r>
                <w:rPr>
                  <w:rStyle w:val="Hyperlink"/>
                </w:rPr>
                <w:t xml:space="preserve">link</w:t>
              </w:r>
            </w:hyperlink>
          </w:p>
        </w:tc>
      </w:tr>
      <w:tr>
        <w:tc>
          <w:tcPr/>
          <w:p>
            <w:pPr>
              <w:pStyle w:val="Compact"/>
              <w:jc w:val="left"/>
            </w:pPr>
            <w:r>
              <w:t xml:space="preserve">Design and Build: Construction of Bridge - Reinforced Concrete Deck Girder (RCDG), Novallas, Tanjay City, Negros Oriental</w:t>
            </w:r>
          </w:p>
        </w:tc>
        <w:tc>
          <w:tcPr/>
          <w:p>
            <w:pPr>
              <w:pStyle w:val="Compact"/>
              <w:jc w:val="left"/>
            </w:pPr>
            <w:r>
              <w:t xml:space="preserve">Provincial Government of Negros Oriental</w:t>
            </w:r>
          </w:p>
        </w:tc>
        <w:tc>
          <w:tcPr/>
          <w:p>
            <w:pPr>
              <w:pStyle w:val="Compact"/>
              <w:jc w:val="left"/>
            </w:pPr>
            <w:r>
              <w:t xml:space="preserve">2023</w:t>
            </w:r>
          </w:p>
        </w:tc>
        <w:tc>
          <w:tcPr/>
          <w:p>
            <w:pPr>
              <w:pStyle w:val="Compact"/>
              <w:jc w:val="right"/>
            </w:pPr>
            <w:r>
              <w:t xml:space="preserve">74,997,689.24</w:t>
            </w:r>
          </w:p>
        </w:tc>
        <w:tc>
          <w:tcPr/>
          <w:p>
            <w:pPr>
              <w:pStyle w:val="Compact"/>
              <w:jc w:val="left"/>
            </w:pPr>
            <w:r>
              <w:t xml:space="preserve">PHILSOUTH BUILDERS INC. AND BIGFOOT CONSTRUCTION &amp; SUPPLY (JOINT VENTURE)</w:t>
            </w:r>
          </w:p>
        </w:tc>
        <w:tc>
          <w:tcPr/>
          <w:p>
            <w:pPr>
              <w:pStyle w:val="Compact"/>
              <w:jc w:val="left"/>
            </w:pPr>
            <w:hyperlink r:id="rId33">
              <w:r>
                <w:rPr>
                  <w:rStyle w:val="Hyperlink"/>
                </w:rPr>
                <w:t xml:space="preserve">link</w:t>
              </w:r>
            </w:hyperlink>
          </w:p>
        </w:tc>
      </w:tr>
      <w:tr>
        <w:tc>
          <w:tcPr/>
          <w:p>
            <w:pPr>
              <w:pStyle w:val="Compact"/>
              <w:jc w:val="left"/>
            </w:pPr>
            <w:r>
              <w:t xml:space="preserve">Improvement of School Facilities for Public Schools under DepEd, Negros Oriental Division</w:t>
            </w:r>
          </w:p>
        </w:tc>
        <w:tc>
          <w:tcPr/>
          <w:p>
            <w:pPr>
              <w:pStyle w:val="Compact"/>
              <w:jc w:val="left"/>
            </w:pPr>
            <w:r>
              <w:t xml:space="preserve">Provincial Government of Negros Oriental</w:t>
            </w:r>
          </w:p>
        </w:tc>
        <w:tc>
          <w:tcPr/>
          <w:p>
            <w:pPr>
              <w:pStyle w:val="Compact"/>
              <w:jc w:val="left"/>
            </w:pPr>
            <w:r>
              <w:t xml:space="preserve">2024</w:t>
            </w:r>
          </w:p>
        </w:tc>
        <w:tc>
          <w:tcPr/>
          <w:p>
            <w:pPr>
              <w:pStyle w:val="Compact"/>
              <w:jc w:val="right"/>
            </w:pPr>
            <w:r>
              <w:t xml:space="preserve">58,795,000.00</w:t>
            </w:r>
          </w:p>
        </w:tc>
        <w:tc>
          <w:tcPr/>
          <w:p>
            <w:pPr>
              <w:pStyle w:val="Compact"/>
              <w:jc w:val="left"/>
            </w:pPr>
            <w:r>
              <w:t xml:space="preserve">PHILSOUTH BUILDERS INC.</w:t>
            </w:r>
          </w:p>
        </w:tc>
        <w:tc>
          <w:tcPr/>
          <w:p>
            <w:pPr>
              <w:pStyle w:val="Compact"/>
              <w:jc w:val="left"/>
            </w:pPr>
            <w:hyperlink r:id="rId34">
              <w:r>
                <w:rPr>
                  <w:rStyle w:val="Hyperlink"/>
                </w:rPr>
                <w:t xml:space="preserve">link</w:t>
              </w:r>
            </w:hyperlink>
          </w:p>
        </w:tc>
      </w:tr>
      <w:tr>
        <w:tc>
          <w:tcPr/>
          <w:p>
            <w:pPr>
              <w:pStyle w:val="Compact"/>
              <w:jc w:val="left"/>
            </w:pPr>
            <w:r>
              <w:t xml:space="preserve">Supply of 2,212 cu.m Concrete Mix using Pumpcrete (3,000 psi) for Construction of Shoreline Protection from Pantawan 1 Going South to Pantawan 2 at Barangay Poblacion 4</w:t>
            </w:r>
          </w:p>
        </w:tc>
        <w:tc>
          <w:tcPr/>
          <w:p>
            <w:pPr>
              <w:pStyle w:val="Compact"/>
              <w:jc w:val="left"/>
            </w:pPr>
            <w:r>
              <w:t xml:space="preserve">City Government of Dumaguete</w:t>
            </w:r>
          </w:p>
        </w:tc>
        <w:tc>
          <w:tcPr/>
          <w:p>
            <w:pPr>
              <w:pStyle w:val="Compact"/>
              <w:jc w:val="left"/>
            </w:pPr>
            <w:r>
              <w:t xml:space="preserve">2024</w:t>
            </w:r>
          </w:p>
        </w:tc>
        <w:tc>
          <w:tcPr/>
          <w:p>
            <w:pPr>
              <w:pStyle w:val="Compact"/>
              <w:jc w:val="right"/>
            </w:pPr>
            <w:r>
              <w:t xml:space="preserve">12,719,000.00</w:t>
            </w:r>
          </w:p>
        </w:tc>
        <w:tc>
          <w:tcPr/>
          <w:p>
            <w:pPr>
              <w:pStyle w:val="Compact"/>
              <w:jc w:val="left"/>
            </w:pPr>
            <w:r>
              <w:t xml:space="preserve">PHIL SOUTH BUILDERS INC</w:t>
            </w:r>
          </w:p>
        </w:tc>
        <w:tc>
          <w:tcPr/>
          <w:p>
            <w:pPr>
              <w:pStyle w:val="Compact"/>
              <w:jc w:val="left"/>
            </w:pPr>
            <w:hyperlink r:id="rId35">
              <w:r>
                <w:rPr>
                  <w:rStyle w:val="Hyperlink"/>
                </w:rPr>
                <w:t xml:space="preserve">link</w:t>
              </w:r>
            </w:hyperlink>
          </w:p>
        </w:tc>
      </w:tr>
      <w:tr>
        <w:tc>
          <w:tcPr/>
          <w:p>
            <w:pPr>
              <w:pStyle w:val="Compact"/>
              <w:jc w:val="left"/>
            </w:pPr>
            <w:r>
              <w:t xml:space="preserve">One (1) Lot Purchase and Installation of Solar Back-up Power Supply for use in the DRRM-CCA Satellite Response and Emergency Operations Center for 13 Health Facilities, PDRRMC, PGO, Province of Negros Oriental</w:t>
            </w:r>
          </w:p>
        </w:tc>
        <w:tc>
          <w:tcPr/>
          <w:p>
            <w:pPr>
              <w:pStyle w:val="Compact"/>
              <w:jc w:val="left"/>
            </w:pPr>
            <w:r>
              <w:t xml:space="preserve">Provincial Government of Negros Oriental</w:t>
            </w:r>
          </w:p>
        </w:tc>
        <w:tc>
          <w:tcPr/>
          <w:p>
            <w:pPr>
              <w:pStyle w:val="Compact"/>
              <w:jc w:val="left"/>
            </w:pPr>
            <w:r>
              <w:t xml:space="preserve">2024</w:t>
            </w:r>
          </w:p>
        </w:tc>
        <w:tc>
          <w:tcPr/>
          <w:p>
            <w:pPr>
              <w:pStyle w:val="Compact"/>
              <w:jc w:val="right"/>
            </w:pPr>
            <w:r>
              <w:t xml:space="preserve">11,494,200.00</w:t>
            </w:r>
          </w:p>
        </w:tc>
        <w:tc>
          <w:tcPr/>
          <w:p>
            <w:pPr>
              <w:pStyle w:val="Compact"/>
              <w:jc w:val="left"/>
            </w:pPr>
            <w:r>
              <w:t xml:space="preserve">PHILSOUTH BUILDERS INC.</w:t>
            </w:r>
          </w:p>
        </w:tc>
        <w:tc>
          <w:tcPr/>
          <w:p>
            <w:pPr>
              <w:pStyle w:val="Compact"/>
              <w:jc w:val="left"/>
            </w:pPr>
            <w:hyperlink r:id="rId36">
              <w:r>
                <w:rPr>
                  <w:rStyle w:val="Hyperlink"/>
                </w:rPr>
                <w:t xml:space="preserve">link</w:t>
              </w:r>
            </w:hyperlink>
          </w:p>
        </w:tc>
      </w:tr>
    </w:tbl>
    <w:bookmarkEnd w:id="37"/>
    <w:bookmarkStart w:id="38" w:name="correction-policy"/>
    <w:p>
      <w:pPr>
        <w:pStyle w:val="Heading2"/>
      </w:pPr>
      <w:r>
        <w:t xml:space="preserve">Correction Policy</w:t>
      </w:r>
    </w:p>
    <w:p>
      <w:pPr>
        <w:pStyle w:val="FirstParagraph"/>
      </w:pPr>
      <w:r>
        <w:t xml:space="preserve">This index will be updated when new official records, source URLs, certified copies, or verified corrections become available. Entries may be reclassified when stronger sources are located. Items based only on company portfolios, media reports, or public mentions will remain marked as leads until matched to official procurement or government records.</w:t>
      </w:r>
    </w:p>
    <w:bookmarkEnd w:id="38"/>
    <w:bookmarkStart w:id="39" w:name="appendix-source-ledger-and-gaps"/>
    <w:p>
      <w:pPr>
        <w:pStyle w:val="Heading2"/>
      </w:pPr>
      <w:r>
        <w:t xml:space="preserve">Appendix: source ledger and gaps</w:t>
      </w:r>
    </w:p>
    <w:p>
      <w:pPr>
        <w:pStyle w:val="FirstParagraph"/>
      </w:pPr>
      <w:r>
        <w:t xml:space="preserve">See</w:t>
      </w:r>
      <w:r>
        <w:t xml:space="preserve"> </w:t>
      </w:r>
      <w:r>
        <w:rPr>
          <w:rStyle w:val="VerbatimChar"/>
        </w:rPr>
        <w:t xml:space="preserve">philsouth-negros-oriental-expanded-source-ledger.csv</w:t>
      </w:r>
      <w:r>
        <w:t xml:space="preserve"> </w:t>
      </w:r>
      <w:r>
        <w:t xml:space="preserve">and</w:t>
      </w:r>
      <w:r>
        <w:t xml:space="preserve"> </w:t>
      </w:r>
      <w:r>
        <w:rPr>
          <w:rStyle w:val="VerbatimChar"/>
        </w:rPr>
        <w:t xml:space="preserve">philsouth-research-gaps.csv</w:t>
      </w:r>
      <w:r>
        <w:t xml:space="preserve"> </w:t>
      </w:r>
      <w:r>
        <w:t xml:space="preserve">for full provenance and outstanding research items.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dumaguetecity.gov.ph/2024/07/26/notice-of-award-philsouth-builders-0020-0089-0593-2024/" TargetMode="External" /><Relationship Type="http://schemas.openxmlformats.org/officeDocument/2006/relationships/hyperlink" Id="rId28" Target="https://www.negor.gov.ph/notice-of-award-b-142-2024/" TargetMode="External" /><Relationship Type="http://schemas.openxmlformats.org/officeDocument/2006/relationships/hyperlink" Id="rId33" Target="https://www.negor.gov.ph/notice-of-award-b-23-30/" TargetMode="External" /><Relationship Type="http://schemas.openxmlformats.org/officeDocument/2006/relationships/hyperlink" Id="rId36" Target="https://www.negor.gov.ph/notice-of-award-b-232-2024/" TargetMode="External" /><Relationship Type="http://schemas.openxmlformats.org/officeDocument/2006/relationships/hyperlink" Id="rId27" Target="https://www.negor.gov.ph/notice-of-award-b-331-2024/" TargetMode="External" /><Relationship Type="http://schemas.openxmlformats.org/officeDocument/2006/relationships/hyperlink" Id="rId34" Target="https://www.negor.gov.ph/notice-of-award-b-390-2024/" TargetMode="External" /><Relationship Type="http://schemas.openxmlformats.org/officeDocument/2006/relationships/hyperlink" Id="rId30" Target="https://www.negor.gov.ph/notice-of-award-b-44-2025/" TargetMode="External" /><Relationship Type="http://schemas.openxmlformats.org/officeDocument/2006/relationships/hyperlink" Id="rId31" Target="https://www.negor.gov.ph/notice-of-award-b-45-2025/" TargetMode="External" /><Relationship Type="http://schemas.openxmlformats.org/officeDocument/2006/relationships/hyperlink" Id="rId29" Target="https://www.negor.gov.ph/notice-of-award-b-46-2025/" TargetMode="External" /><Relationship Type="http://schemas.openxmlformats.org/officeDocument/2006/relationships/hyperlink" Id="rId32" Target="https://www.negor.gov.ph/notice-of-award-b-51-2025/" TargetMode="External" /></Relationships>
</file>

<file path=word/_rels/footnotes.xml.rels><?xml version="1.0" encoding="UTF-8"?><Relationships xmlns="http://schemas.openxmlformats.org/package/2006/relationships"><Relationship Type="http://schemas.openxmlformats.org/officeDocument/2006/relationships/hyperlink" Id="rId35" Target="https://dumaguetecity.gov.ph/2024/07/26/notice-of-award-philsouth-builders-0020-0089-0593-2024/" TargetMode="External" /><Relationship Type="http://schemas.openxmlformats.org/officeDocument/2006/relationships/hyperlink" Id="rId28" Target="https://www.negor.gov.ph/notice-of-award-b-142-2024/" TargetMode="External" /><Relationship Type="http://schemas.openxmlformats.org/officeDocument/2006/relationships/hyperlink" Id="rId33" Target="https://www.negor.gov.ph/notice-of-award-b-23-30/" TargetMode="External" /><Relationship Type="http://schemas.openxmlformats.org/officeDocument/2006/relationships/hyperlink" Id="rId36" Target="https://www.negor.gov.ph/notice-of-award-b-232-2024/" TargetMode="External" /><Relationship Type="http://schemas.openxmlformats.org/officeDocument/2006/relationships/hyperlink" Id="rId27" Target="https://www.negor.gov.ph/notice-of-award-b-331-2024/" TargetMode="External" /><Relationship Type="http://schemas.openxmlformats.org/officeDocument/2006/relationships/hyperlink" Id="rId34" Target="https://www.negor.gov.ph/notice-of-award-b-390-2024/" TargetMode="External" /><Relationship Type="http://schemas.openxmlformats.org/officeDocument/2006/relationships/hyperlink" Id="rId30" Target="https://www.negor.gov.ph/notice-of-award-b-44-2025/" TargetMode="External" /><Relationship Type="http://schemas.openxmlformats.org/officeDocument/2006/relationships/hyperlink" Id="rId31" Target="https://www.negor.gov.ph/notice-of-award-b-45-2025/" TargetMode="External" /><Relationship Type="http://schemas.openxmlformats.org/officeDocument/2006/relationships/hyperlink" Id="rId29" Target="https://www.negor.gov.ph/notice-of-award-b-46-2025/" TargetMode="External" /><Relationship Type="http://schemas.openxmlformats.org/officeDocument/2006/relationships/hyperlink" Id="rId32" Target="https://www.negor.gov.ph/notice-of-award-b-51-20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2026-05-06T12:35:39Z</dcterms:created>
  <dcterms:modified xsi:type="dcterms:W3CDTF">2026-05-06T12:35:39Z</dcterms:modified>
</cp:coreProperties>
</file>

<file path=docProps/custom.xml><?xml version="1.0" encoding="utf-8"?>
<Properties xmlns="http://schemas.openxmlformats.org/officeDocument/2006/custom-properties" xmlns:vt="http://schemas.openxmlformats.org/officeDocument/2006/docPropsVTypes"/>
</file>